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eastAsia="仿宋"/>
          <w:kern w:val="0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附件2： </w:t>
      </w:r>
    </w:p>
    <w:p>
      <w:pPr>
        <w:spacing w:line="560" w:lineRule="exact"/>
        <w:jc w:val="center"/>
        <w:rPr>
          <w:rFonts w:hint="eastAsia" w:ascii="黑体" w:eastAsia="黑体"/>
          <w:kern w:val="0"/>
          <w:sz w:val="40"/>
          <w:szCs w:val="40"/>
        </w:rPr>
      </w:pPr>
      <w:r>
        <w:rPr>
          <w:rFonts w:hint="eastAsia" w:ascii="黑体" w:hAnsi="仿宋" w:eastAsia="黑体"/>
          <w:kern w:val="0"/>
          <w:sz w:val="40"/>
          <w:szCs w:val="40"/>
        </w:rPr>
        <w:t>优秀成长辅导案例上报要求</w:t>
      </w:r>
    </w:p>
    <w:p>
      <w:pPr>
        <w:spacing w:line="560" w:lineRule="exact"/>
        <w:ind w:firstLine="643" w:firstLineChars="200"/>
        <w:rPr>
          <w:rFonts w:hAnsi="仿宋" w:eastAsia="仿宋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一、案例选题要求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1、案例的选择必须是真实案例，具有一定的工作实践价值。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2、案例紧扣以下五方面内容，与思想教育、心理健康教育与日常管理工作相结合：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（1）思想提升辅导：包括理想信念、爱国主义、公民道德、政治信仰等辅导内容；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（2）生活适应辅导：包括自我意识、情绪、人际交往、闲暇生活等辅导内容；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（3）职业规划辅导：包括规划意识、职业认知、职前准备等辅导内容；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（4）危机应对辅导：包括重大生活事件、心理疾病康复期、精神疾病康复期等辅导内容；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（5）学业发展辅导：包括学业规划、学业适应、学业救助、学业创新等辅导内容。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3、注意挖掘和总结案例的典型性、创新性。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二、案例书写结构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1、确定辅导对象：为什么要辅导该生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2、初次辅导：澄清辅导对象的问题，确定辅导目标；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3、辅导过程：记录辅导全过程，包括辅导时间（次数）、使用的辅导方法、辅导效果及反馈；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4、辅导感悟与体验；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三、报送要求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1、严禁抄袭，发现弄虚作假或剽窃他人成果者，结项评审将评为不合格。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2、每个项目报一个优秀成长辅导案例，统一文本格式（正标题：黑体3号居中，单倍行距；副标题：黑体4号居中，单倍行距；宋体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4号，单倍行距；正文：宋体4号，行距22磅），注明单位及作者。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23E26"/>
    <w:rsid w:val="4802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2018-01-10T07:53:00Z</dcterms:created>
  <dc:creator>Administrator</dc:creator>
  <cp:lastModifiedBy>Administrator</cp:lastModifiedBy>
  <dcterms:modified xsi:type="dcterms:W3CDTF">2018-01-10T07:53:46Z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