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6" w:hanging="536" w:hangingChars="200"/>
        <w:jc w:val="left"/>
        <w:outlineLvl w:val="1"/>
        <w:rPr>
          <w:rFonts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附件4：</w:t>
      </w:r>
    </w:p>
    <w:p>
      <w:pPr>
        <w:ind w:left="776" w:hanging="779" w:hangingChars="200"/>
        <w:jc w:val="center"/>
        <w:outlineLvl w:val="1"/>
        <w:rPr>
          <w:rFonts w:ascii="方正小标宋简体" w:hAnsi="宋体" w:eastAsia="方正小标宋简体"/>
          <w:b/>
          <w:bCs/>
          <w:spacing w:val="-6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pacing w:val="-6"/>
          <w:sz w:val="40"/>
          <w:szCs w:val="40"/>
        </w:rPr>
        <w:t>湖南农业大学校园心理广播剧大赛活动方案</w:t>
      </w:r>
    </w:p>
    <w:p>
      <w:pPr>
        <w:spacing w:line="520" w:lineRule="exact"/>
        <w:ind w:firstLine="643" w:firstLineChars="200"/>
        <w:jc w:val="left"/>
        <w:rPr>
          <w:rFonts w:ascii="黑体" w:hAnsi="黑体" w:eastAsia="黑体" w:cs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outlineLvl w:val="1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战疫心声 温暖人间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outlineLvl w:val="1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园心理广播剧以青年人声音讲述青年人的精彩故事，在防疫延迟返校的特殊时期，通过线上的语音交汇传递爱与温暖的正能量。同时，广播剧大赛打造一个五彩缤纷的学子心灵园地，用文字故事、声音情感打造不同背景下人物成长的心路历程，弘扬向上向善的校园文化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outlineLvl w:val="1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湖南农业大学全日制本专科学生及教师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outlineLvl w:val="1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（一）学院初赛（5月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各学院自行组织初赛，选拔心理广播剧本并向心理中心推荐参赛剧目剧本及节目音频（每个学院选出一支队伍参加决赛）。在经过审核后符合参赛要求的队伍方可晋级决赛，请各入围参赛队伍于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17：00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决赛信息登记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表和剧本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ndxinli@163.com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（二）决赛（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日—6月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最终入围决赛的参赛队伍通过评委审核的形式角逐最终的奖项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评委根据心理广播剧决赛评分标准对参赛作品进行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分，最后按照评委评分的分数进行排名评奖。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Malgun Gothic Semilight" w:hAnsi="Malgun Gothic Semilight" w:eastAsia="Malgun Gothic Semilight" w:cs="Malgun Gothic Semilight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本次比赛设一等奖1个（奖金300元/个）；二等奖2个（奖金200元/个）；三等奖3个（奖金100元/个）；优胜奖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个，均颁发荣誉证书。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（三）作品展示（6月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日-6月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在本次比赛中获得一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等奖的作品将于湖南农业大学心理健康教育会微信公众号进行展示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" w:beforeLines="20" w:line="560" w:lineRule="exact"/>
        <w:ind w:firstLine="643" w:firstLineChars="200"/>
        <w:textAlignment w:val="auto"/>
        <w:outlineLvl w:val="1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（一）剧本内容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1.立足于大学生学习、生活，体现积极向上的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精神风貌</w:t>
      </w:r>
      <w:r>
        <w:rPr>
          <w:rFonts w:hint="eastAsia" w:ascii="仿宋_GB2312" w:hAnsi="仿宋_GB2312" w:eastAsia="仿宋_GB2312" w:cs="仿宋_GB2312"/>
          <w:sz w:val="32"/>
          <w:szCs w:val="32"/>
        </w:rPr>
        <w:t>，反映当代大学生的心理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特征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2.故事背景不限于校园内，可有多样化的故事情境，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鼓励作品结合抗击疫情的特殊时代背景进行创作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3.剧本内容不得抄袭，必须原创。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（二）演出形式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以广播剧的形式进行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演绎</w:t>
      </w:r>
      <w:r>
        <w:rPr>
          <w:rFonts w:hint="eastAsia" w:ascii="仿宋_GB2312" w:hAnsi="仿宋_GB2312" w:eastAsia="仿宋_GB2312" w:cs="仿宋_GB2312"/>
          <w:sz w:val="32"/>
          <w:szCs w:val="32"/>
        </w:rPr>
        <w:t>，通过录音与视频图片相结合的形式展现。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（三）节目时长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参赛作品时间控制在6-8分钟。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四)演出人数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参赛队伍不限制年级班级，以学院为单位组建参赛队伍（以班级为单位参与竞演予以加分），每个参赛队伍的表演人数不限。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textAlignment w:val="auto"/>
        <w:outlineLvl w:val="1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六、心理广播决赛评分标准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评选小组从主题、内容、剧情、声音、设计、参演人员及节目时长这七个方面进行评分，满分为100分，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1.主题（10分）：明确新颖,有教育、启示意义,适合学生表演。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2.内容（20分）：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学生的心理困惑和问题，呈现学生内心世界和心理冲突。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3.剧情（30分）：问题表述清楚，心理冲突明显，解决方法、手段积极有效,能有效启发观众思考和受益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鼓励作品创作体现积极有为的战“役”心理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4.声音（30分）：声音有辨识度，默契配合，能很好地展现心理活动，配音使用恰到好处，声音能触动心弦，给观众的心灵带来触动。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5.设计（10分）：剧情设置结合紧密。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6.参演人员（附加分）：辅导员、班主任或任课教师参加加5分，以班级为表演团体参加加5分。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7.违规时长扣分（上限20分）：超过或少于30秒扣5分，超过或少于60秒扣10分，超过或少于90秒及以上扣20分。</w:t>
      </w:r>
    </w:p>
    <w:p>
      <w:pPr>
        <w:spacing w:line="520" w:lineRule="exact"/>
        <w:jc w:val="left"/>
        <w:rPr>
          <w:rFonts w:ascii="方正小标宋简体" w:hAnsi="方正小标宋简体" w:eastAsia="方正小标宋简体" w:cs="方正小标宋简体"/>
          <w:b/>
          <w:bCs/>
          <w:color w:val="000000"/>
          <w:spacing w:val="6"/>
          <w:w w:val="9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"/>
          <w:w w:val="90"/>
          <w:sz w:val="36"/>
          <w:szCs w:val="36"/>
          <w:shd w:val="clear" w:color="auto" w:fill="FFFFFF"/>
        </w:rPr>
        <w:t>湖南农业大学第十五届“5·25”大学生心理健康节</w:t>
      </w: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bCs/>
          <w:color w:val="000000"/>
          <w:spacing w:val="6"/>
          <w:w w:val="9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6"/>
          <w:w w:val="90"/>
          <w:sz w:val="36"/>
          <w:szCs w:val="36"/>
          <w:shd w:val="clear" w:color="auto" w:fill="FFFFFF"/>
        </w:rPr>
        <w:t>校园心理广播剧决赛信息登记表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pacing w:val="6"/>
          <w:w w:val="90"/>
          <w:sz w:val="11"/>
          <w:szCs w:val="11"/>
          <w:shd w:val="clear" w:color="auto" w:fill="FFFFFF"/>
        </w:rPr>
      </w:pPr>
    </w:p>
    <w:tbl>
      <w:tblPr>
        <w:tblStyle w:val="5"/>
        <w:tblW w:w="915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65"/>
        <w:gridCol w:w="2018"/>
        <w:gridCol w:w="1304"/>
        <w:gridCol w:w="1526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节目名称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剧目时长</w:t>
            </w: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9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参赛宣言</w:t>
            </w:r>
          </w:p>
        </w:tc>
        <w:tc>
          <w:tcPr>
            <w:tcW w:w="7154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9150" w:type="dxa"/>
            <w:gridSpan w:val="6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节目简介：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4179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指导老师意见：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签名：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月  日</w:t>
            </w:r>
          </w:p>
        </w:tc>
        <w:tc>
          <w:tcPr>
            <w:tcW w:w="4971" w:type="dxa"/>
            <w:gridSpan w:val="3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学院学工组意见：</w:t>
            </w:r>
          </w:p>
          <w:p>
            <w:pPr>
              <w:ind w:right="560"/>
              <w:rPr>
                <w:sz w:val="28"/>
                <w:szCs w:val="28"/>
              </w:rPr>
            </w:pPr>
          </w:p>
          <w:p>
            <w:pPr>
              <w:ind w:right="560"/>
              <w:rPr>
                <w:sz w:val="28"/>
                <w:szCs w:val="28"/>
              </w:rPr>
            </w:pPr>
          </w:p>
          <w:p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ind w:right="280" w:firstLine="3220" w:firstLineChars="1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此表格填写内容将作为参赛选手宣传素材，请认真填写。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楷体_GB2312" w:hAnsi="楷体_GB2312" w:eastAsia="楷体_GB2312" w:cs="楷体_GB2312"/>
          <w:b/>
          <w:bCs/>
          <w:sz w:val="40"/>
          <w:szCs w:val="4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心理广播剧剧本格式规范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 xml:space="preserve">        广播剧名称        </w:t>
      </w: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提交学院：             提交班级：（若为团队此处可不填）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制作团队：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编剧：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录音：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制作：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广播剧内容提要：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主要角色及其简介：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>剧本正文：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正文内容（小四，宋体，固定值20磅行间距）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第一幕：地点，人物，场景（宋体小四，加粗，行间距20磅）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角色A：XXXXXXX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角色B：XXXXXXX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第一幕：地点，人物，场景（宋体小四，加粗，行间距20磅）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角色A：XXXXXXX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角色B：XXXXXXX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注：剧本要求包含主要剧情内容和人物对白。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人物对白：人名后加冒号，内容不加双引号；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动作描述：可以写在人名后，也可以对白中在括号内表达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t>场景描述：场景描述和人物对白各自独立成段；</w:t>
      </w:r>
    </w:p>
    <w:p>
      <w:pPr>
        <w:rPr>
          <w:rFonts w:hint="eastAsia"/>
          <w:b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altName w:val="宋体"/>
    <w:panose1 w:val="020B0502040000020203"/>
    <w:charset w:val="86"/>
    <w:family w:val="swiss"/>
    <w:pitch w:val="default"/>
    <w:sig w:usb0="00000000" w:usb1="00000000" w:usb2="00000012" w:usb3="00000000" w:csb0="203E01BD" w:csb1="D7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9A1BB5"/>
    <w:rsid w:val="6FE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t_tag"/>
    <w:basedOn w:val="6"/>
    <w:qFormat/>
    <w:uiPriority w:val="0"/>
  </w:style>
  <w:style w:type="character" w:customStyle="1" w:styleId="9">
    <w:name w:val="页眉 字符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批注框文本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市检察院</Company>
  <Pages>5</Pages>
  <Words>1510</Words>
  <Characters>1591</Characters>
  <Paragraphs>117</Paragraphs>
  <TotalTime>4</TotalTime>
  <ScaleCrop>false</ScaleCrop>
  <LinksUpToDate>false</LinksUpToDate>
  <CharactersWithSpaces>1665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2020-05-14T14:58:00Z</dcterms:created>
  <dc:creator>LOSER</dc:creator>
  <cp:lastModifiedBy>LQ376</cp:lastModifiedBy>
  <cp:lastPrinted>2020-05-22T02:23:28Z</cp:lastPrinted>
  <dcterms:modified xsi:type="dcterms:W3CDTF">2020-05-22T04:53:30Z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