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bookmarkStart w:id="0" w:name="_Toc4642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附件3：</w:t>
      </w:r>
    </w:p>
    <w:p>
      <w:pPr>
        <w:ind w:left="777" w:hanging="779" w:hangingChars="200"/>
        <w:jc w:val="center"/>
        <w:outlineLvl w:val="1"/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</w:rPr>
        <w:t>湖南农业大学第</w:t>
      </w: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  <w:lang w:val="en-US" w:eastAsia="zh-CN"/>
        </w:rPr>
        <w:t>四</w:t>
      </w: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</w:rPr>
        <w:t>届校园心理</w:t>
      </w: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  <w:lang w:val="en-US" w:eastAsia="zh-CN"/>
        </w:rPr>
        <w:t>情景</w:t>
      </w: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</w:rPr>
        <w:t>剧</w:t>
      </w: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  <w:lang w:val="en-US" w:eastAsia="zh-CN"/>
        </w:rPr>
        <w:t>剧本</w:t>
      </w:r>
    </w:p>
    <w:p>
      <w:pPr>
        <w:ind w:left="777" w:hanging="779" w:hangingChars="200"/>
        <w:jc w:val="center"/>
        <w:outlineLvl w:val="1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  <w:lang w:val="en-US" w:eastAsia="zh-CN"/>
        </w:rPr>
        <w:t>创作</w:t>
      </w:r>
      <w:r>
        <w:rPr>
          <w:rFonts w:hint="eastAsia" w:ascii="Times New Roman" w:hAnsi="Times New Roman" w:eastAsia="方正小标宋简体"/>
          <w:b/>
          <w:bCs/>
          <w:spacing w:val="-6"/>
          <w:sz w:val="40"/>
          <w:szCs w:val="40"/>
        </w:rPr>
        <w:t>大赛活动方案</w:t>
      </w:r>
      <w:bookmarkEnd w:id="0"/>
    </w:p>
    <w:p>
      <w:pPr>
        <w:spacing w:line="520" w:lineRule="exact"/>
        <w:ind w:firstLine="643" w:firstLineChars="200"/>
        <w:jc w:val="left"/>
        <w:outlineLvl w:val="1"/>
        <w:rPr>
          <w:rFonts w:ascii="Times New Roman" w:hAnsi="Times New Roman" w:eastAsia="黑体" w:cs="黑体"/>
          <w:b/>
          <w:sz w:val="32"/>
          <w:szCs w:val="32"/>
        </w:rPr>
      </w:pPr>
      <w:bookmarkStart w:id="1" w:name="_Toc24635"/>
      <w:r>
        <w:rPr>
          <w:rFonts w:hint="eastAsia" w:ascii="Times New Roman" w:hAnsi="Times New Roman" w:eastAsia="黑体" w:cs="黑体"/>
          <w:b/>
          <w:sz w:val="32"/>
          <w:szCs w:val="32"/>
        </w:rPr>
        <w:t>一、活动主题</w:t>
      </w:r>
      <w:bookmarkEnd w:id="1"/>
    </w:p>
    <w:p>
      <w:pPr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2" w:name="_Toc1221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聚心凝爱 向阳逐梦</w:t>
      </w:r>
    </w:p>
    <w:p>
      <w:pPr>
        <w:spacing w:line="520" w:lineRule="exact"/>
        <w:ind w:firstLine="643" w:firstLineChars="200"/>
        <w:jc w:val="left"/>
        <w:outlineLvl w:val="1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二、活动目的</w:t>
      </w:r>
      <w:bookmarkEnd w:id="2"/>
    </w:p>
    <w:p>
      <w:pPr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心理情景剧的创作及演绎，为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大学生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提供了一个讲述内心情感的平台，体验人物内心状态，融入心理学知识及技巧，达到情绪宣泄和心理疗愈的作用。心理情景剧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的开展能很好地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展现当代大学生积极向上的精神面貌，体现大学生的青春活力，同时用艺术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创作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的方式吸引广大学生关注心理健康。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演绎心情故事，引导学生自主发现、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化解心理问题，获得自我成长和促进大学生身心健康发展。</w:t>
      </w:r>
    </w:p>
    <w:p>
      <w:pPr>
        <w:spacing w:line="520" w:lineRule="exact"/>
        <w:ind w:firstLine="643" w:firstLineChars="200"/>
        <w:jc w:val="left"/>
        <w:outlineLvl w:val="1"/>
        <w:rPr>
          <w:rFonts w:hint="eastAsia" w:ascii="Times New Roman" w:hAnsi="Times New Roman" w:eastAsia="黑体" w:cs="黑体"/>
          <w:b/>
          <w:sz w:val="32"/>
          <w:szCs w:val="32"/>
        </w:rPr>
      </w:pPr>
      <w:bookmarkStart w:id="3" w:name="_Toc10548"/>
      <w:r>
        <w:rPr>
          <w:rFonts w:hint="eastAsia" w:ascii="Times New Roman" w:hAnsi="Times New Roman" w:eastAsia="黑体" w:cs="黑体"/>
          <w:b/>
          <w:sz w:val="32"/>
          <w:szCs w:val="32"/>
        </w:rPr>
        <w:t>三、活动对象</w:t>
      </w:r>
      <w:bookmarkEnd w:id="3"/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湖南农业大学全日制本科生及教师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活动主办方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湖南农业大学心理素质教育与咨询中心</w:t>
      </w:r>
    </w:p>
    <w:p>
      <w:pPr>
        <w:spacing w:line="520" w:lineRule="exact"/>
        <w:ind w:firstLine="643" w:firstLineChars="200"/>
        <w:jc w:val="left"/>
        <w:outlineLvl w:val="1"/>
        <w:rPr>
          <w:rFonts w:hint="eastAsia" w:ascii="Times New Roman" w:hAnsi="Times New Roman" w:eastAsia="黑体" w:cs="黑体"/>
          <w:b/>
          <w:sz w:val="32"/>
          <w:szCs w:val="32"/>
        </w:rPr>
      </w:pPr>
      <w:bookmarkStart w:id="4" w:name="_Toc1391"/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、活动安排</w:t>
      </w:r>
      <w:bookmarkEnd w:id="4"/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5" w:name="_Toc21805"/>
      <w:r>
        <w:rPr>
          <w:rFonts w:hint="eastAsia" w:ascii="Times New Roman" w:hAnsi="Times New Roman" w:eastAsia="仿宋_GB2312" w:cs="仿宋_GB2312"/>
          <w:sz w:val="32"/>
          <w:szCs w:val="32"/>
        </w:rPr>
        <w:t>（一）学院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赛</w:t>
      </w:r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1、时间：3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日—4月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bookmarkEnd w:id="5"/>
    </w:p>
    <w:p>
      <w:pPr>
        <w:numPr>
          <w:ilvl w:val="0"/>
          <w:numId w:val="0"/>
        </w:num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6" w:name="_Toc15507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2、形式：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各学院自行组织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赛，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心理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情景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剧剧本选拔并向心理中心推荐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本学院前两名的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参赛剧目剧本。</w:t>
      </w:r>
    </w:p>
    <w:p>
      <w:pPr>
        <w:numPr>
          <w:ilvl w:val="0"/>
          <w:numId w:val="0"/>
        </w:num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3、剧本内容要求</w:t>
      </w:r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立足于大学生学习、生活，体现积极向上的心理理念，反映当代大学生的心理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体现大学生精神风貌；</w:t>
      </w:r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剧本须具有完备完整的剧本构架，凡大纲、素材、创意、故事梗概等过于简略的稿件以及小说、散文、电视剧等其他体裁的稿件均不接受评选。</w:t>
      </w:r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必须是原创剧本，剧本可以由真实事件改编，但改编剧本要注明真实事件出处。不得抄袭，一经发现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取消参赛资格。</w:t>
      </w:r>
    </w:p>
    <w:p>
      <w:pPr>
        <w:numPr>
          <w:ilvl w:val="0"/>
          <w:numId w:val="0"/>
        </w:num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4、剧本格式要求</w:t>
      </w:r>
    </w:p>
    <w:p>
      <w:pPr>
        <w:numPr>
          <w:ilvl w:val="0"/>
          <w:numId w:val="0"/>
        </w:num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标题（含副题）居中、宋体、小三号、加粗，正文宋体、小四号，正文（含标题行）采用1.25倍行距，设定页码，不设定页眉、页脚，不调整默认页边距值。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剧本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末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注明学院、指导老师、作者等信息。</w:t>
      </w:r>
    </w:p>
    <w:p>
      <w:pPr>
        <w:numPr>
          <w:ilvl w:val="0"/>
          <w:numId w:val="1"/>
        </w:numPr>
        <w:shd w:val="clear" w:color="auto" w:fill="FFFFFF"/>
        <w:snapToGrid w:val="0"/>
        <w:spacing w:before="62" w:beforeLines="20" w:line="52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学校决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赛</w:t>
      </w:r>
      <w:bookmarkEnd w:id="6"/>
    </w:p>
    <w:p>
      <w:pPr>
        <w:numPr>
          <w:ilvl w:val="0"/>
          <w:numId w:val="0"/>
        </w:numPr>
        <w:shd w:val="clear" w:color="auto" w:fill="FFFFFF"/>
        <w:snapToGrid w:val="0"/>
        <w:spacing w:before="62" w:beforeLines="20" w:line="52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1、时间：4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日—4月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hd w:val="clear" w:color="auto" w:fill="FFFFFF"/>
        <w:snapToGrid w:val="0"/>
        <w:spacing w:before="62" w:beforeLines="2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2、形式：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心理中心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将组建专家评审团从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剧本主题思想、剧目呈现形式和对白语言艺术等方面进行评审。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决赛</w:t>
      </w:r>
      <w:r>
        <w:rPr>
          <w:rFonts w:hint="eastAsia" w:ascii="Times New Roman" w:hAnsi="Times New Roman" w:eastAsia="仿宋_GB2312"/>
          <w:sz w:val="32"/>
          <w:szCs w:val="32"/>
        </w:rPr>
        <w:t>设一等奖1个（奖金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00元/个）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二等奖2个（奖金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00元/个）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三等奖3个（奖金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00元/个）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优胜奖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均颁发荣誉证书。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</w:p>
    <w:p>
      <w:pPr>
        <w:spacing w:line="52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剧本</w:t>
      </w:r>
      <w:r>
        <w:rPr>
          <w:rFonts w:hint="eastAsia" w:ascii="Times New Roman" w:hAnsi="Times New Roman" w:eastAsia="黑体" w:cs="黑体"/>
          <w:b/>
          <w:sz w:val="32"/>
          <w:szCs w:val="32"/>
        </w:rPr>
        <w:t>评分标准</w:t>
      </w:r>
    </w:p>
    <w:tbl>
      <w:tblPr>
        <w:tblStyle w:val="4"/>
        <w:tblpPr w:leftFromText="181" w:rightFromText="181" w:vertAnchor="text" w:horzAnchor="page" w:tblpXSpec="center" w:tblpY="171"/>
        <w:tblOverlap w:val="never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683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2"/>
                <w:tab w:val="center" w:pos="3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 w:val="0"/>
                <w:sz w:val="28"/>
                <w:szCs w:val="28"/>
                <w:lang w:eastAsia="zh-CN"/>
              </w:rPr>
            </w:pPr>
            <w:bookmarkStart w:id="7" w:name="_Toc1847"/>
            <w:r>
              <w:rPr>
                <w:rFonts w:hint="eastAsia" w:ascii="Times New Roman" w:hAnsi="Times New Roman" w:eastAsia="宋体"/>
                <w:b/>
                <w:bCs w:val="0"/>
                <w:sz w:val="28"/>
                <w:szCs w:val="28"/>
                <w:lang w:eastAsia="zh-CN"/>
              </w:rPr>
              <w:t>评定要点</w:t>
            </w:r>
          </w:p>
        </w:tc>
        <w:tc>
          <w:tcPr>
            <w:tcW w:w="683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2"/>
                <w:tab w:val="center" w:pos="3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2"/>
                <w:tab w:val="center" w:pos="3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主题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35分）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符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合“聚心凝爱 向阳逐梦”主题，内容充实具体、生动感人，思想内容健康向上且特色鲜明，有思想性和启发性。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材料典型、新颖，事迹感人、实例生动，反映客观事实，具有普遍意义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适合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现场展演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，符合当下热潮。</w:t>
            </w:r>
          </w:p>
        </w:tc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剧目情节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40分）</w:t>
            </w:r>
          </w:p>
        </w:tc>
        <w:tc>
          <w:tcPr>
            <w:tcW w:w="68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内容呈现学生内心世界，反映校园学生生活，能有效启发观众思考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并从中受益。</w:t>
            </w:r>
          </w:p>
        </w:tc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每个人物的台词具有连贯性，并在一定程度上能够体现该人物的个性。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故事编排紧凑有条理，层层递进，具有较强的感染力、吸引力和号召力。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整个剧本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内容是否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连贯顺畅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剧本的开篇是否新颖，收尾是否点睛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语言表达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（25分）</w:t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精炼优美，真实亲切，巧妙表达富有感染力，使人启迪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100分</w:t>
            </w:r>
          </w:p>
        </w:tc>
      </w:tr>
      <w:bookmarkEnd w:id="7"/>
    </w:tbl>
    <w:p>
      <w:pPr>
        <w:spacing w:line="520" w:lineRule="exact"/>
        <w:ind w:firstLine="643" w:firstLineChars="200"/>
        <w:jc w:val="left"/>
        <w:outlineLvl w:val="1"/>
        <w:rPr>
          <w:rFonts w:ascii="Times New Roman" w:hAnsi="Times New Roman" w:eastAsia="黑体" w:cs="黑体"/>
          <w:b/>
          <w:sz w:val="32"/>
          <w:szCs w:val="32"/>
        </w:rPr>
      </w:pPr>
      <w:bookmarkStart w:id="10" w:name="_GoBack"/>
      <w:bookmarkEnd w:id="10"/>
    </w:p>
    <w:p>
      <w:pPr>
        <w:spacing w:line="520" w:lineRule="exact"/>
        <w:ind w:firstLine="643" w:firstLineChars="200"/>
        <w:jc w:val="left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</w:p>
    <w:p>
      <w:pPr>
        <w:jc w:val="left"/>
        <w:rPr>
          <w:rFonts w:ascii="Times New Roman" w:hAnsi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</w:pPr>
      <w:bookmarkStart w:id="8" w:name="_Toc6241"/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  <w:t>湖南农业大学第十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  <w:t>届“5·25”大学生心理健康节</w:t>
      </w:r>
      <w:bookmarkEnd w:id="8"/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</w:pPr>
      <w:bookmarkStart w:id="9" w:name="_Toc5409"/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  <w:t>届校园心理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  <w:lang w:val="en-US" w:eastAsia="zh-CN"/>
        </w:rPr>
        <w:t>情景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  <w:t>剧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  <w:lang w:val="en-US" w:eastAsia="zh-CN"/>
        </w:rPr>
        <w:t>剧本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w w:val="90"/>
          <w:sz w:val="40"/>
          <w:szCs w:val="40"/>
          <w:shd w:val="clear" w:color="auto" w:fill="FFFFFF"/>
        </w:rPr>
        <w:t>信息登记表</w:t>
      </w:r>
      <w:bookmarkEnd w:id="9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"/>
          <w:w w:val="90"/>
          <w:sz w:val="11"/>
          <w:szCs w:val="11"/>
          <w:shd w:val="clear" w:color="auto" w:fill="FFFFFF"/>
        </w:rPr>
      </w:pP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65"/>
        <w:gridCol w:w="2018"/>
        <w:gridCol w:w="1304"/>
        <w:gridCol w:w="1526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剧本字数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915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/>
                <w:b/>
                <w:bCs/>
                <w:sz w:val="28"/>
                <w:szCs w:val="28"/>
              </w:rPr>
              <w:t>简介：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4179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指导老师意见：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签名：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971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学院学工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/>
                <w:b/>
                <w:bCs/>
                <w:sz w:val="28"/>
                <w:szCs w:val="28"/>
              </w:rPr>
              <w:t>意见：</w:t>
            </w:r>
          </w:p>
          <w:p>
            <w:pPr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ind w:right="280"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ABBBFA-A3E6-4EB4-9E7E-8A6BEF9E84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97C514-3B9B-44D8-8C29-A2636472C8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D354C5-28B7-40EB-8AD4-5F0B28EDA1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E63414-C879-4949-9C8A-C7C06CE17C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9D367"/>
    <w:multiLevelType w:val="singleLevel"/>
    <w:tmpl w:val="5219D3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WM1ZjMyZjMxNjBhOTRlOTY5ZTVkYmFkZjZlZTAifQ=="/>
  </w:docVars>
  <w:rsids>
    <w:rsidRoot w:val="2B8828F8"/>
    <w:rsid w:val="049D5610"/>
    <w:rsid w:val="11611FEE"/>
    <w:rsid w:val="1936714C"/>
    <w:rsid w:val="19887E71"/>
    <w:rsid w:val="1CF337C9"/>
    <w:rsid w:val="1E115311"/>
    <w:rsid w:val="1F50792A"/>
    <w:rsid w:val="1FDF50EB"/>
    <w:rsid w:val="29D90FCB"/>
    <w:rsid w:val="2B8828F8"/>
    <w:rsid w:val="30F342FC"/>
    <w:rsid w:val="383645AF"/>
    <w:rsid w:val="3C500FC2"/>
    <w:rsid w:val="42DB59A4"/>
    <w:rsid w:val="4754496B"/>
    <w:rsid w:val="4C2D4C7B"/>
    <w:rsid w:val="4E20571A"/>
    <w:rsid w:val="581546EF"/>
    <w:rsid w:val="595B174C"/>
    <w:rsid w:val="5D3C7B7B"/>
    <w:rsid w:val="5E7E0DDA"/>
    <w:rsid w:val="6107091B"/>
    <w:rsid w:val="62DE0556"/>
    <w:rsid w:val="68D13812"/>
    <w:rsid w:val="6BBE0B7D"/>
    <w:rsid w:val="6C003531"/>
    <w:rsid w:val="71B91155"/>
    <w:rsid w:val="741D7786"/>
    <w:rsid w:val="7F5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1177</Characters>
  <Lines>0</Lines>
  <Paragraphs>0</Paragraphs>
  <TotalTime>12</TotalTime>
  <ScaleCrop>false</ScaleCrop>
  <LinksUpToDate>false</LinksUpToDate>
  <CharactersWithSpaces>1219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2022-03-01T02:53:00Z</dcterms:created>
  <dc:creator>Darling.果</dc:creator>
  <cp:lastModifiedBy>Darling.果</cp:lastModifiedBy>
  <dcterms:modified xsi:type="dcterms:W3CDTF">2022-04-28T13:08:54Z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3C1F3435152E475DBD357EAB81E9B2CE</vt:lpwstr>
  </property>
  <property fmtid="{D5CDD505-2E9C-101B-9397-08002B2CF9AE}" pid="4" name="commondata">
    <vt:lpwstr>eyJoZGlkIjoiODMzZWM1ZjMyZjMxNjBhOTRlOTY5ZTVkYmFkZjZlZTAifQ==</vt:lpwstr>
  </property>
</Properties>
</file>